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8B" w:rsidRPr="00A45580" w:rsidRDefault="00784E8B" w:rsidP="00A45580">
      <w:pPr>
        <w:spacing w:after="0" w:line="360" w:lineRule="auto"/>
        <w:jc w:val="center"/>
        <w:rPr>
          <w:rFonts w:ascii="Bookman Old Style" w:eastAsia="Times New Roman" w:hAnsi="Bookman Old Style" w:cstheme="minorHAnsi"/>
          <w:b/>
          <w:lang w:eastAsia="pl-PL"/>
        </w:rPr>
      </w:pPr>
      <w:r w:rsidRPr="00A45580">
        <w:rPr>
          <w:rFonts w:ascii="Bookman Old Style" w:eastAsia="Times New Roman" w:hAnsi="Bookman Old Style" w:cstheme="minorHAnsi"/>
          <w:b/>
          <w:lang w:eastAsia="pl-PL"/>
        </w:rPr>
        <w:t>Komunikat Wojewódzkiego Lekarza Weterynarii dotyczący zmian w załączniku do decyzji wykonawczej 2014/709/UE w sprawie środków kontroli w zakresie zdrowia zwierząt w odniesieniu do afrykańskiego pomoru świń w niektórych państwach członkowskich</w:t>
      </w:r>
    </w:p>
    <w:p w:rsidR="00784E8B" w:rsidRPr="00A45580" w:rsidRDefault="00784E8B" w:rsidP="00A45580">
      <w:pPr>
        <w:spacing w:line="360" w:lineRule="auto"/>
        <w:jc w:val="both"/>
        <w:rPr>
          <w:rFonts w:ascii="Bookman Old Style" w:hAnsi="Bookman Old Style" w:cstheme="minorHAnsi"/>
        </w:rPr>
      </w:pPr>
    </w:p>
    <w:p w:rsidR="00384ED4" w:rsidRPr="00FC79D7" w:rsidRDefault="00784E8B" w:rsidP="00FC79D7">
      <w:pPr>
        <w:spacing w:line="360" w:lineRule="auto"/>
        <w:jc w:val="both"/>
        <w:rPr>
          <w:rFonts w:ascii="Bookman Old Style" w:hAnsi="Bookman Old Style" w:cstheme="minorHAnsi"/>
          <w:sz w:val="20"/>
          <w:szCs w:val="20"/>
        </w:rPr>
      </w:pPr>
      <w:bookmarkStart w:id="0" w:name="_Hlk6401456"/>
      <w:bookmarkStart w:id="1" w:name="_GoBack"/>
      <w:r w:rsidRPr="007171BB">
        <w:rPr>
          <w:rFonts w:ascii="Bookman Old Style" w:hAnsi="Bookman Old Style" w:cstheme="minorHAnsi"/>
          <w:sz w:val="20"/>
          <w:szCs w:val="20"/>
        </w:rPr>
        <w:t xml:space="preserve">Zgodnie z zapisami zawartymi w Decyzji Wykonawczej Komisji (UE) </w:t>
      </w:r>
      <w:r w:rsidRPr="00B3181B">
        <w:rPr>
          <w:rFonts w:ascii="Bookman Old Style" w:hAnsi="Bookman Old Style" w:cstheme="minorHAnsi"/>
          <w:b/>
          <w:sz w:val="20"/>
          <w:szCs w:val="20"/>
        </w:rPr>
        <w:t>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w:t>
      </w:r>
      <w:r w:rsidR="00BF12CA">
        <w:rPr>
          <w:rFonts w:ascii="Bookman Old Style" w:hAnsi="Bookman Old Style" w:cstheme="minorHAnsi"/>
          <w:b/>
          <w:sz w:val="20"/>
          <w:szCs w:val="20"/>
        </w:rPr>
        <w:t>617</w:t>
      </w:r>
      <w:r w:rsidRPr="00B3181B">
        <w:rPr>
          <w:rFonts w:ascii="Bookman Old Style" w:hAnsi="Bookman Old Style" w:cstheme="minorHAnsi"/>
          <w:b/>
          <w:sz w:val="20"/>
          <w:szCs w:val="20"/>
        </w:rPr>
        <w:t xml:space="preserve"> z dnia </w:t>
      </w:r>
      <w:r w:rsidR="00BF12CA">
        <w:rPr>
          <w:rFonts w:ascii="Bookman Old Style" w:hAnsi="Bookman Old Style" w:cstheme="minorHAnsi"/>
          <w:b/>
          <w:sz w:val="20"/>
          <w:szCs w:val="20"/>
        </w:rPr>
        <w:t>15 kwietnia</w:t>
      </w:r>
      <w:r w:rsidRPr="00B3181B">
        <w:rPr>
          <w:rFonts w:ascii="Bookman Old Style" w:hAnsi="Bookman Old Style" w:cstheme="minorHAnsi"/>
          <w:b/>
          <w:sz w:val="20"/>
          <w:szCs w:val="20"/>
        </w:rPr>
        <w:t xml:space="preserve"> 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 xml:space="preserve"> r.</w:t>
      </w:r>
      <w:r w:rsidRPr="007171BB">
        <w:rPr>
          <w:rFonts w:ascii="Bookman Old Style" w:hAnsi="Bookman Old Style" w:cstheme="minorHAnsi"/>
          <w:sz w:val="20"/>
          <w:szCs w:val="20"/>
        </w:rPr>
        <w:t xml:space="preserve"> zmieniającej załącznik do decyzji wykonawczej 2014/709/UE w sprawie środków kontroli w zakresie zdrowia zwierząt w odniesieniu do afrykańskiego pomoru świń w niektórych państwach członkowskich wyznaczony na terenie województwa warmińsko-mazurskiego obszar ochronny (żółty) i obszar objęty ograniczeniami (czerwony), obejmuje następujące </w:t>
      </w:r>
      <w:r w:rsidR="00FE17FB" w:rsidRPr="007171BB">
        <w:rPr>
          <w:rFonts w:ascii="Bookman Old Style" w:hAnsi="Bookman Old Style" w:cstheme="minorHAnsi"/>
          <w:sz w:val="20"/>
          <w:szCs w:val="20"/>
        </w:rPr>
        <w:t>powiaty i gminy</w:t>
      </w:r>
      <w:r w:rsidRPr="007171BB">
        <w:rPr>
          <w:rFonts w:ascii="Bookman Old Style" w:hAnsi="Bookman Old Style" w:cstheme="minorHAnsi"/>
          <w:sz w:val="20"/>
          <w:szCs w:val="20"/>
        </w:rPr>
        <w:t>:</w:t>
      </w:r>
    </w:p>
    <w:p w:rsidR="00FC79D7" w:rsidRPr="00FC79D7" w:rsidRDefault="00FC79D7"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Ruciane – Nida i część gminy Pisz położona na południe od linii wyznaczonej przez drogę nr 58 oraz miasto Pisz w powiecie </w:t>
      </w:r>
      <w:proofErr w:type="spellStart"/>
      <w:r w:rsidRPr="00FC79D7">
        <w:rPr>
          <w:rFonts w:ascii="Bookman Old Style" w:hAnsi="Bookman Old Style"/>
          <w:sz w:val="22"/>
          <w:szCs w:val="22"/>
        </w:rPr>
        <w:t>piskim</w:t>
      </w:r>
      <w:proofErr w:type="spellEnd"/>
    </w:p>
    <w:p w:rsidR="00384ED4" w:rsidRPr="00BF12CA" w:rsidRDefault="00BF12CA"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BF12CA">
        <w:rPr>
          <w:rFonts w:ascii="Bookman Old Style" w:hAnsi="Bookman Old Style"/>
          <w:sz w:val="22"/>
          <w:szCs w:val="22"/>
        </w:rPr>
        <w:t>część gminy Miłki położona na zachód od linii wyznaczonej przez drogę nr 63, część gminy Ryn położona na południe od linii kolejowej łączącej miejscowości Giżycko i Kętrzyn, część gminy wiejskiej Giżycko położona na południe od linii wyznaczonej przez drogę nr 59 biegnącą od zachodniej granicy gminy do granicy miasta Giżycko, na południe od linii wyznaczonej przez drogę nr 63 biegnącą od południowej granicy gminy do granicy miasta Giżycko i na południe od granicy miasta Giżycko w powiecie giżyckim,</w:t>
      </w:r>
    </w:p>
    <w:p w:rsidR="00384ED4" w:rsidRPr="00FC79D7" w:rsidRDefault="00384ED4"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Mikołajki, Piecki, część gminy Sorkwity położona na południe od drogi nr 16 i część gminy wiejskiej Mrągowo położona na południe od linii wyznaczonej przez drogę nr 16 biegnącą od zachodniej granicy gminy do granicy miasta Mrągowo oraz na południe od linii wyznaczonej przez drogę nr 59 biegnącą od wschodniej granicy gminy do granicy miasta Mrągowo w powiecie mrągowskim, </w:t>
      </w:r>
    </w:p>
    <w:p w:rsidR="00FC79D7" w:rsidRPr="00FC79D7" w:rsidRDefault="00384ED4"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Dźwierzuty i Świętajno w powiecie szczycieńskim, </w:t>
      </w:r>
    </w:p>
    <w:p w:rsidR="00FC79D7" w:rsidRPr="00FC79D7" w:rsidRDefault="00FC79D7"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Gronowo Elbląskie, Markusy, Rychliki, część gminy Elbląg położona na wschód i na południe od granicy powiatu miejskiego Elbląg i na południe od linii wyznaczonej przez drogę nr S7 biegnącą od granicy powiatu miejskiego Elbląg do wschodniej granicy gminy Elbląg i część gminy Tolkmicko niewymieniona w części II załącznika w powiecie elbląskim oraz strefa wód przybrzeżnych Zalewu Wiślanego i Zatoki Elbląskiej, </w:t>
      </w:r>
    </w:p>
    <w:p w:rsidR="00FC79D7" w:rsidRPr="00FC79D7" w:rsidRDefault="00FC79D7"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Barczewo, Biskupiec, Dobre Miasto, Dywity, Jeziorany, Jonkowo i Świątki w powiecie olsztyńskim, </w:t>
      </w:r>
    </w:p>
    <w:p w:rsidR="00FC79D7" w:rsidRPr="00FC79D7" w:rsidRDefault="00FC79D7"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Łukta, Miłakowo, Małdyty, Miłomłyn i Morąg w powiecie ostródzkim, </w:t>
      </w:r>
    </w:p>
    <w:p w:rsidR="00FC79D7" w:rsidRPr="00FC79D7" w:rsidRDefault="00FC79D7" w:rsidP="00FC79D7">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Zalewo w powiecie iławskim,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Kalinowo, Prostki, Stare Juchy i gmina wiejska Ełk w powiecie ełckim,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gminy Godkowo, Milejewo, Młynary, Pasłęk, część gminy Elbląg położona na północ od linii wyznaczonej przez drogę nr S7 biegnącą od granicy powiatu miejski</w:t>
      </w:r>
      <w:r>
        <w:rPr>
          <w:rFonts w:ascii="Bookman Old Style" w:hAnsi="Bookman Old Style"/>
          <w:sz w:val="22"/>
          <w:szCs w:val="22"/>
        </w:rPr>
        <w:t>e</w:t>
      </w:r>
      <w:r w:rsidRPr="00FC79D7">
        <w:rPr>
          <w:rFonts w:ascii="Bookman Old Style" w:hAnsi="Bookman Old Style"/>
          <w:sz w:val="22"/>
          <w:szCs w:val="22"/>
        </w:rPr>
        <w:t xml:space="preserve">go Elbląg do wschodniej granicy gminy Elbląg, i część obszaru lądowego gminy Tolkmicko położona na południe od linii brzegowej Zalewu Wiślanego i Zatoki Elbląskiej do granicy z gminą wiejską Elbląg w powiecie elbląskim,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powiat miejski Elbląg, </w:t>
      </w:r>
    </w:p>
    <w:p w:rsidR="00FC79D7" w:rsidRPr="00BF12CA" w:rsidRDefault="00BF12CA"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BF12CA">
        <w:rPr>
          <w:rFonts w:ascii="Bookman Old Style" w:hAnsi="Bookman Old Style"/>
          <w:sz w:val="22"/>
          <w:szCs w:val="22"/>
        </w:rPr>
        <w:t xml:space="preserve">gminy Kruklanki, Wydminy, część gminy Miłki położona na wschód od linii wyznaczonej przez drogę nr 63, część gminy Ryn położona na północ od linii kolejowej łączącej miejscowości Giżycko i Kętrzyn i część gminy wiejskiej Giżycko położona na północ od linii wyznaczonej przez drogę nr 59 biegnącą od zachodniej granicy gminy do granicy miasta Giżycko, na północ od linii wyznaczonej przez drogę nr 63 biegnącą od </w:t>
      </w:r>
      <w:r w:rsidRPr="00BF12CA">
        <w:rPr>
          <w:rFonts w:ascii="Bookman Old Style" w:hAnsi="Bookman Old Style"/>
          <w:sz w:val="22"/>
          <w:szCs w:val="22"/>
        </w:rPr>
        <w:lastRenderedPageBreak/>
        <w:t>południowej granicy gminy do granicy miasta Giżycko i na północ od granicy miasta Giżycka i miasto Giżycko w powiecie giżyckim,</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Dubeninki, część gminy Gołdap położona na wschód od linii wyznaczonej przez drogę nr 65 biegnącą od południowej granicy gminy do skrzyżowania z drogą nr 1815N i na północ od linii wyznaczonej przez drogę nr 1815N biegnącą od zachodniej granicy gminy do skrzyżowania z drogą nr 65 w powiecie gołdapskim,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Pozezdrze i część gminy Węgorzewo położona na zachód od linii wyznaczonej przez drogę nr 63 biegnącą od południowo-wschodniej granicy gminy do skrzyżowania z drogą nr 650, a następnie na południe od linii wyznaczonej przez drogę nr 650 biegnącą od skrzyżowania z drogą nr 63 do skrzyżowania z drogą biegnącą do miejscowości Przystań i na wschód od linii wyznaczonej przez drogę łączącą miejscowości Przystań, Pniewo, Kamionek Wielki, Radzieje, Dłużec w powiecie węgorzewskim,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Olecko, Świętajno, Wieliczki i część gminy Kowale Oleckie położona na wschód od linii wyznaczonej przez drogę nr 65 i na południowy wschód od linii wyznaczonej przez drogę łączącą miejscowości Kowale Oleckie, Guzy, Wężewo, Sokółki biegnącą do południowej granicy gminy w powiecie oleckim,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Orzysz, Biała Piska i część gminy Pisz położona na północ od linii wyznaczonej przez drogę nr 58 w powiecie </w:t>
      </w:r>
      <w:proofErr w:type="spellStart"/>
      <w:r w:rsidRPr="00FC79D7">
        <w:rPr>
          <w:rFonts w:ascii="Bookman Old Style" w:hAnsi="Bookman Old Style"/>
          <w:sz w:val="22"/>
          <w:szCs w:val="22"/>
        </w:rPr>
        <w:t>piskim</w:t>
      </w:r>
      <w:proofErr w:type="spellEnd"/>
      <w:r w:rsidRPr="00FC79D7">
        <w:rPr>
          <w:rFonts w:ascii="Bookman Old Style" w:hAnsi="Bookman Old Style"/>
          <w:sz w:val="22"/>
          <w:szCs w:val="22"/>
        </w:rPr>
        <w:t xml:space="preserve">,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Górowo Iławeckie z miastem Górowo Iławeckie, Bisztynek, część gminy wiejskiej Bartoszyce położona na zachód od linii wyznaczonej przez drogę nr 51 biegnącą od północnej granicy gminy do skrzyżowania z drogą nr 57 i na zachód od linii wyznaczonej przez drogę nr 57 biegnącą od skrzyżowania z drogą nr 51 do południowej granicy gminy i miasto Bartoszyce w powiecie bartoszyckim,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Kolno w powiecie olsztyńskim,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powiat braniewski,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Kętrzyn z miastem Kętrzyn, Reszel i część gminy Korsze położona na południe od linii wyznaczonej przez drogę biegnącą od wschodniej granicy łączącą miejscowości Krelikiejmy i Sątoczno i na wschód od linii wyznaczonej przez drogę łączącą miejscowości Sątoczno, Sajna Wielka biegnącą do skrzyżowania z drogą nr 590 w miejscowości Glitajny, a następnie na wschód od drogi nr 590 do skrzyżowania z drogą nr 592 i na południe od linii wyznaczonej przez drogę nr 592 biegnącą od zachodniej granicy gminy do skrzyżowania z drogą nr 590 w powiecie kętrzyńskim,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powiat lidzbarski, </w:t>
      </w:r>
    </w:p>
    <w:p w:rsidR="00FC79D7" w:rsidRPr="00FC79D7" w:rsidRDefault="00FC79D7" w:rsidP="00FC79D7">
      <w:pPr>
        <w:pStyle w:val="Default"/>
        <w:numPr>
          <w:ilvl w:val="0"/>
          <w:numId w:val="2"/>
        </w:numPr>
        <w:shd w:val="clear" w:color="auto" w:fill="FF7C80"/>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część gminy Sorkwity położona na północ od drogi nr 16 i część gminy wiejskiej Mrągowo położona na północ od linii wyznaczonej przez drogę nr 16 biegnącą od zachodniej granicy gminy do granicy miasta Mrągowo oraz na północ od linii wyznaczonej przez drogę nr 59 biegnącą od wschodniej granicy gminy do granicy miasta Mrągowo w powiecie mrągowskim; </w:t>
      </w:r>
    </w:p>
    <w:p w:rsidR="00FC79D7" w:rsidRPr="00FC79D7" w:rsidRDefault="00FC79D7" w:rsidP="00ED261D">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Sępopol i część gminy wiejskiej Bartoszyce położona na wschód od linii wyznaczonej przez drogę nr 51 biegnącą od północnej granicy gminy do skrzyżowania z drogą nr 57 i na wschód od linii wyznaczonej przez drogę nr 57 biegnącą od skrzyżowania z drogą nr 51 do południowej granicy gminy w powiecie bartoszyckim, </w:t>
      </w:r>
    </w:p>
    <w:p w:rsidR="00FC79D7" w:rsidRPr="00FC79D7" w:rsidRDefault="00FC79D7" w:rsidP="00ED261D">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gminy Srokowo, Barciany i część gminy Korsze położona na północ od linii wyznaczonej przez drogę biegnącą od wschodniej granicy łączącą miejscowości Krelikiejmy i Sątoczno i na zachód od linii wyznaczonej przez drogę łączącą miejscowości Sątoczno, Sajna Wielka biegnącą do skrzyżowania z drogą nr 590 w miejscowości Glitajny, a następnie na zachód od drogi nr 590 do skrzyżowania z drogą nr 592 i na północ od linii wyznaczonej przez drogę nr 592 biegnącą od zachodniej granicy gminy do skrzyżowania z drogą nr 590 w powiecie kętrzyńskim, </w:t>
      </w:r>
    </w:p>
    <w:p w:rsidR="00FC79D7" w:rsidRPr="00FC79D7" w:rsidRDefault="00FC79D7" w:rsidP="00ED261D">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lastRenderedPageBreak/>
        <w:t xml:space="preserve">gmina Budry i część gminy Węgorzewo położona na wschód od linii wyznaczonej przez drogę nr 63 biegnącą od południowo-wschodniej granicy gminy do skrzyżowania z drogą nr 650, a następnie na północ od linii wyznaczonej przez drogę nr 650 biegnącą od skrzyżowania z drogą nr 63 do skrzyżowania z drogą biegnącą do miejscowości Przystań i na zachód od linii wyznaczonej przez drogę łączącą miejscowości Przystań, Pniewo, Kamionek Wielki, Radzieje, Dłużec w powiecie węgorzewskim, </w:t>
      </w:r>
    </w:p>
    <w:p w:rsidR="00FC79D7" w:rsidRPr="00FC79D7" w:rsidRDefault="00FC79D7" w:rsidP="00ED261D">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 xml:space="preserve">gmina Banie Mazurskie i część gminy Gołdap położona na zachód od linii wyznaczonej przez drogę nr 65 biegnącą od południowej granicy gminy do skrzyżowania z drogą nr 1815N i na południe od linii wyznaczonej przez drogę nr 1815N biegnącą od zachodniej granicy gminy do skrzyżowania z drogą nr 65 w powiecie gołdapskim, </w:t>
      </w:r>
    </w:p>
    <w:p w:rsidR="00784E8B" w:rsidRPr="00FC79D7" w:rsidRDefault="00FC79D7" w:rsidP="00ED261D">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FC79D7">
        <w:rPr>
          <w:rFonts w:ascii="Bookman Old Style" w:hAnsi="Bookman Old Style"/>
          <w:sz w:val="22"/>
          <w:szCs w:val="22"/>
        </w:rPr>
        <w:t>część gminy Kowale Oleckie położona na zachód od linii wyznaczonej przez drogę biegnącą od południowej granicy gminy łączącą miejscowości Sokółki, Wężewo, Guzy, Kowale Oleckie do skrzyżowania z drogą nr 65 i na zachód od linii wyznaczonej przez drogę nr 65 biegnącą od tego skrzyżowania do północnej granicy gminy w powiecie oleckim</w:t>
      </w:r>
      <w:r>
        <w:rPr>
          <w:rFonts w:ascii="Bookman Old Style" w:hAnsi="Bookman Old Style"/>
          <w:sz w:val="22"/>
          <w:szCs w:val="22"/>
        </w:rPr>
        <w:t>.</w:t>
      </w:r>
      <w:bookmarkEnd w:id="0"/>
      <w:bookmarkEnd w:id="1"/>
    </w:p>
    <w:sectPr w:rsidR="00784E8B" w:rsidRPr="00FC79D7" w:rsidSect="00A45580">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972"/>
    <w:multiLevelType w:val="hybridMultilevel"/>
    <w:tmpl w:val="80A2519C"/>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713452"/>
    <w:multiLevelType w:val="singleLevel"/>
    <w:tmpl w:val="1660AF4C"/>
    <w:name w:val="Tiret 1"/>
    <w:lvl w:ilvl="0">
      <w:start w:val="1"/>
      <w:numFmt w:val="bullet"/>
      <w:pStyle w:val="Tiret1"/>
      <w:lvlText w:val="–"/>
      <w:lvlJc w:val="left"/>
      <w:pPr>
        <w:tabs>
          <w:tab w:val="num" w:pos="1417"/>
        </w:tabs>
        <w:ind w:left="1417" w:hanging="567"/>
      </w:pPr>
    </w:lvl>
  </w:abstractNum>
  <w:abstractNum w:abstractNumId="2" w15:restartNumberingAfterBreak="0">
    <w:nsid w:val="51197150"/>
    <w:multiLevelType w:val="hybridMultilevel"/>
    <w:tmpl w:val="9BE63E1A"/>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8570F9"/>
    <w:multiLevelType w:val="hybridMultilevel"/>
    <w:tmpl w:val="9BF21984"/>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E90AF1"/>
    <w:multiLevelType w:val="hybridMultilevel"/>
    <w:tmpl w:val="E23CB8BE"/>
    <w:lvl w:ilvl="0" w:tplc="8AE88C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B"/>
    <w:rsid w:val="002064D4"/>
    <w:rsid w:val="00384ED4"/>
    <w:rsid w:val="003E1AE3"/>
    <w:rsid w:val="007171BB"/>
    <w:rsid w:val="007176E3"/>
    <w:rsid w:val="00784E8B"/>
    <w:rsid w:val="00831349"/>
    <w:rsid w:val="00A45580"/>
    <w:rsid w:val="00B3181B"/>
    <w:rsid w:val="00BF12CA"/>
    <w:rsid w:val="00CB66B7"/>
    <w:rsid w:val="00DC00CF"/>
    <w:rsid w:val="00ED261D"/>
    <w:rsid w:val="00FC79D7"/>
    <w:rsid w:val="00FE17FB"/>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E6FC"/>
  <w15:chartTrackingRefBased/>
  <w15:docId w15:val="{940C12A8-8DFB-49E6-81FD-A6481377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E8B"/>
    <w:pPr>
      <w:ind w:left="720"/>
      <w:contextualSpacing/>
    </w:pPr>
  </w:style>
  <w:style w:type="paragraph" w:customStyle="1" w:styleId="Tiret1">
    <w:name w:val="Tiret 1"/>
    <w:basedOn w:val="Normalny"/>
    <w:uiPriority w:val="99"/>
    <w:rsid w:val="00B3181B"/>
    <w:pPr>
      <w:numPr>
        <w:numId w:val="5"/>
      </w:numPr>
      <w:spacing w:before="120" w:after="120" w:line="240" w:lineRule="auto"/>
      <w:jc w:val="both"/>
    </w:pPr>
    <w:rPr>
      <w:rFonts w:ascii="Times New Roman" w:eastAsia="Calibri" w:hAnsi="Times New Roman" w:cs="Times New Roman"/>
      <w:sz w:val="24"/>
      <w:lang w:val="en-GB" w:eastAsia="en-GB"/>
    </w:rPr>
  </w:style>
  <w:style w:type="paragraph" w:customStyle="1" w:styleId="Default">
    <w:name w:val="Default"/>
    <w:rsid w:val="00384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399">
      <w:bodyDiv w:val="1"/>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 w:id="1474641426">
          <w:marLeft w:val="0"/>
          <w:marRight w:val="0"/>
          <w:marTop w:val="0"/>
          <w:marBottom w:val="0"/>
          <w:divBdr>
            <w:top w:val="none" w:sz="0" w:space="0" w:color="auto"/>
            <w:left w:val="none" w:sz="0" w:space="0" w:color="auto"/>
            <w:bottom w:val="none" w:sz="0" w:space="0" w:color="auto"/>
            <w:right w:val="none" w:sz="0" w:space="0" w:color="auto"/>
          </w:divBdr>
        </w:div>
        <w:div w:id="121307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3099-95B0-4090-AAC0-32FF1BAC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1141</Words>
  <Characters>6848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DDANILUK</dc:creator>
  <cp:keywords/>
  <dc:description/>
  <cp:lastModifiedBy>DDANILUK</cp:lastModifiedBy>
  <cp:revision>11</cp:revision>
  <dcterms:created xsi:type="dcterms:W3CDTF">2018-02-22T11:55:00Z</dcterms:created>
  <dcterms:modified xsi:type="dcterms:W3CDTF">2019-04-17T11:52:00Z</dcterms:modified>
</cp:coreProperties>
</file>